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98" w:type="dxa"/>
        <w:jc w:val="center"/>
        <w:tblLayout w:type="fixed"/>
        <w:tblCellMar>
          <w:top w:w="56" w:type="dxa"/>
          <w:left w:w="96" w:type="dxa"/>
          <w:bottom w:w="56" w:type="dxa"/>
          <w:right w:w="96" w:type="dxa"/>
        </w:tblCellMar>
        <w:tblLook w:val="04A0" w:firstRow="1" w:lastRow="0" w:firstColumn="1" w:lastColumn="0" w:noHBand="0" w:noVBand="1"/>
      </w:tblPr>
      <w:tblGrid>
        <w:gridCol w:w="1118"/>
        <w:gridCol w:w="1951"/>
        <w:gridCol w:w="3188"/>
        <w:gridCol w:w="1118"/>
        <w:gridCol w:w="1123"/>
      </w:tblGrid>
      <w:tr w:rsidR="00C47CFC" w14:paraId="59F7F7F3" w14:textId="77777777" w:rsidTr="003F273D">
        <w:trPr>
          <w:tblHeader/>
          <w:jc w:val="center"/>
        </w:trPr>
        <w:tc>
          <w:tcPr>
            <w:tcW w:w="849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B2785" w14:textId="77777777" w:rsidR="00C47CFC" w:rsidRDefault="00C47CFC" w:rsidP="003F273D">
            <w:pPr>
              <w:widowControl/>
              <w:snapToGrid w:val="0"/>
              <w:jc w:val="center"/>
              <w:textAlignment w:val="center"/>
              <w:rPr>
                <w:rFonts w:ascii="宋体" w:eastAsia="宋体" w:hAnsi="宋体" w:cs="宋体"/>
                <w:b/>
                <w:color w:val="000000"/>
                <w:kern w:val="0"/>
                <w:sz w:val="28"/>
                <w:szCs w:val="28"/>
                <w:lang w:bidi="ar"/>
              </w:rPr>
            </w:pPr>
            <w:r>
              <w:rPr>
                <w:rFonts w:ascii="宋体" w:eastAsia="宋体" w:hAnsi="宋体" w:cs="宋体" w:hint="eastAsia"/>
                <w:b/>
                <w:color w:val="000000"/>
                <w:kern w:val="0"/>
                <w:sz w:val="28"/>
                <w:szCs w:val="28"/>
                <w:lang w:bidi="ar"/>
              </w:rPr>
              <w:t>设备参数表</w:t>
            </w:r>
          </w:p>
        </w:tc>
      </w:tr>
      <w:tr w:rsidR="00C47CFC" w14:paraId="639530E8" w14:textId="77777777" w:rsidTr="003F273D">
        <w:trPr>
          <w:tblHeade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00EEE" w14:textId="77777777" w:rsidR="00C47CFC" w:rsidRDefault="00C47CFC" w:rsidP="003F273D">
            <w:pPr>
              <w:widowControl/>
              <w:snapToGrid w:val="0"/>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lang w:bidi="ar"/>
              </w:rPr>
              <w:t>序号</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97848" w14:textId="77777777" w:rsidR="00C47CFC" w:rsidRDefault="00C47CFC" w:rsidP="003F273D">
            <w:pPr>
              <w:widowControl/>
              <w:snapToGrid w:val="0"/>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lang w:bidi="ar"/>
              </w:rPr>
              <w:t>冷库位置</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8485B" w14:textId="77777777" w:rsidR="00C47CFC" w:rsidRDefault="00C47CFC" w:rsidP="003F273D">
            <w:pPr>
              <w:widowControl/>
              <w:snapToGrid w:val="0"/>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lang w:bidi="ar"/>
              </w:rPr>
              <w:t>规格</w:t>
            </w:r>
          </w:p>
        </w:tc>
        <w:tc>
          <w:tcPr>
            <w:tcW w:w="1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CC1F8" w14:textId="77777777" w:rsidR="00C47CFC" w:rsidRDefault="00C47CFC" w:rsidP="003F273D">
            <w:pPr>
              <w:widowControl/>
              <w:snapToGrid w:val="0"/>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lang w:bidi="ar"/>
              </w:rPr>
              <w:t>数量</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A2B1F" w14:textId="77777777" w:rsidR="00C47CFC" w:rsidRDefault="00C47CFC" w:rsidP="003F273D">
            <w:pPr>
              <w:widowControl/>
              <w:snapToGrid w:val="0"/>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lang w:bidi="ar"/>
              </w:rPr>
              <w:t>单位</w:t>
            </w:r>
          </w:p>
        </w:tc>
      </w:tr>
      <w:tr w:rsidR="00C47CFC" w14:paraId="16B27F8E" w14:textId="77777777" w:rsidTr="003F273D">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21CA7" w14:textId="77777777" w:rsidR="00C47CFC" w:rsidRDefault="00C47CFC" w:rsidP="003F273D">
            <w:pPr>
              <w:widowControl/>
              <w:snapToGrid w:val="0"/>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233D8"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北辰校区</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BC502"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3900*2700*2500</w:t>
            </w:r>
          </w:p>
        </w:tc>
        <w:tc>
          <w:tcPr>
            <w:tcW w:w="1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1818B"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38498"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套</w:t>
            </w:r>
          </w:p>
        </w:tc>
      </w:tr>
      <w:tr w:rsidR="00C47CFC" w14:paraId="64E75A61" w14:textId="77777777" w:rsidTr="003F273D">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4373D" w14:textId="77777777" w:rsidR="00C47CFC" w:rsidRDefault="00C47CFC" w:rsidP="003F273D">
            <w:pPr>
              <w:widowControl/>
              <w:snapToGrid w:val="0"/>
              <w:jc w:val="left"/>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7F207"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北辰校区</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CF2B3"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4000*3100*2400</w:t>
            </w:r>
          </w:p>
        </w:tc>
        <w:tc>
          <w:tcPr>
            <w:tcW w:w="1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7960B"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3F5BD"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套</w:t>
            </w:r>
          </w:p>
        </w:tc>
      </w:tr>
      <w:tr w:rsidR="00C47CFC" w14:paraId="0D389C28" w14:textId="77777777" w:rsidTr="003F273D">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32BDC" w14:textId="77777777" w:rsidR="00C47CFC" w:rsidRDefault="00C47CFC" w:rsidP="003F273D">
            <w:pPr>
              <w:widowControl/>
              <w:snapToGrid w:val="0"/>
              <w:jc w:val="left"/>
              <w:textAlignment w:val="center"/>
              <w:rPr>
                <w:rFonts w:ascii="宋体" w:eastAsia="宋体" w:hAnsi="宋体" w:cs="宋体"/>
                <w:color w:val="000000"/>
                <w:sz w:val="28"/>
                <w:szCs w:val="28"/>
              </w:rPr>
            </w:pPr>
            <w:r>
              <w:rPr>
                <w:rFonts w:ascii="宋体" w:eastAsia="宋体" w:hAnsi="宋体" w:cs="宋体" w:hint="eastAsia"/>
                <w:color w:val="000000"/>
                <w:sz w:val="28"/>
                <w:szCs w:val="28"/>
              </w:rPr>
              <w:t>3</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64AA0"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南院</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99C56"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3600*2700*2500</w:t>
            </w:r>
          </w:p>
        </w:tc>
        <w:tc>
          <w:tcPr>
            <w:tcW w:w="1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F82A1"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35033"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套</w:t>
            </w:r>
          </w:p>
        </w:tc>
      </w:tr>
      <w:tr w:rsidR="00C47CFC" w14:paraId="082BAEC1" w14:textId="77777777" w:rsidTr="003F273D">
        <w:trPr>
          <w:jc w:val="center"/>
        </w:trPr>
        <w:tc>
          <w:tcPr>
            <w:tcW w:w="1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B6619" w14:textId="77777777" w:rsidR="00C47CFC" w:rsidRDefault="00C47CFC" w:rsidP="003F273D">
            <w:pPr>
              <w:widowControl/>
              <w:snapToGrid w:val="0"/>
              <w:jc w:val="left"/>
              <w:textAlignment w:val="center"/>
              <w:rPr>
                <w:rFonts w:ascii="宋体" w:eastAsia="宋体" w:hAnsi="宋体" w:cs="宋体"/>
                <w:color w:val="000000"/>
                <w:sz w:val="28"/>
                <w:szCs w:val="28"/>
              </w:rPr>
            </w:pPr>
            <w:r>
              <w:rPr>
                <w:rFonts w:ascii="宋体" w:eastAsia="宋体" w:hAnsi="宋体" w:cs="宋体" w:hint="eastAsia"/>
                <w:color w:val="000000"/>
                <w:sz w:val="28"/>
                <w:szCs w:val="28"/>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8B66E"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东院</w:t>
            </w:r>
          </w:p>
        </w:tc>
        <w:tc>
          <w:tcPr>
            <w:tcW w:w="31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B82A3"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4400*2300*2500</w:t>
            </w:r>
          </w:p>
        </w:tc>
        <w:tc>
          <w:tcPr>
            <w:tcW w:w="1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F778A"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1</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9B82E" w14:textId="77777777" w:rsidR="00C47CFC" w:rsidRDefault="00C47CFC" w:rsidP="003F273D">
            <w:pPr>
              <w:widowControl/>
              <w:snapToGrid w:val="0"/>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套</w:t>
            </w:r>
          </w:p>
        </w:tc>
      </w:tr>
      <w:tr w:rsidR="00C47CFC" w14:paraId="682585D8" w14:textId="77777777" w:rsidTr="003F273D">
        <w:trPr>
          <w:jc w:val="center"/>
        </w:trPr>
        <w:tc>
          <w:tcPr>
            <w:tcW w:w="84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DBE720" w14:textId="77777777" w:rsidR="00C47CFC" w:rsidRDefault="00C47CFC" w:rsidP="00E77B8A">
            <w:pPr>
              <w:widowControl/>
              <w:numPr>
                <w:ilvl w:val="0"/>
                <w:numId w:val="1"/>
              </w:numPr>
              <w:snapToGrid w:val="0"/>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冷库库板与库板的连接使用定制凸轮式偏心勾锁快速自锁扣安装系统，对化学品稳定而且达到国家洁净卫生标准，库内外表面平整光滑，其防渗水性能使库板可以用喷水器清洗。</w:t>
            </w:r>
            <w:r>
              <w:rPr>
                <w:rFonts w:ascii="宋体" w:eastAsia="宋体" w:hAnsi="宋体" w:cs="宋体" w:hint="eastAsia"/>
                <w:color w:val="000000"/>
                <w:kern w:val="0"/>
                <w:sz w:val="28"/>
                <w:szCs w:val="28"/>
                <w:lang w:bidi="ar"/>
              </w:rPr>
              <w:br/>
              <w:t>★2、冷库墙板与顶板采用100mm厚，内外金属材料优质彩钢板板厚0.5mm（基板厚度不低于0.476mm）聚氨酯夹芯板，聚氨酯密度≥40±2kg/m³，抗压强度标准≥160kpa;导热系数标准≤0.024W/(M.k)。整体库板的技术指标符合《组合冷库用隔热夹心板》JB/T6527-2006标准规定的技术指标要求。须提供第三方检测报告。</w:t>
            </w:r>
            <w:r>
              <w:rPr>
                <w:rFonts w:ascii="宋体" w:eastAsia="宋体" w:hAnsi="宋体" w:cs="宋体" w:hint="eastAsia"/>
                <w:color w:val="000000"/>
                <w:kern w:val="0"/>
                <w:sz w:val="28"/>
                <w:szCs w:val="28"/>
                <w:lang w:bidi="ar"/>
              </w:rPr>
              <w:br/>
              <w:t xml:space="preserve">  3、冷库库内墙板与墙板、墙板与顶板连接阴角处镶嵌圆角。</w:t>
            </w:r>
          </w:p>
          <w:p w14:paraId="253E7544" w14:textId="77777777" w:rsidR="00C47CFC" w:rsidRPr="00C47CFC" w:rsidRDefault="00C47CFC" w:rsidP="00C47CFC">
            <w:pPr>
              <w:widowControl/>
              <w:snapToGrid w:val="0"/>
              <w:ind w:left="140"/>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★4、库板保温材料具有阻燃性，防火性能符合 GB8624-2012《建筑材料及制品燃烧性能分级》符合B1认证。需提供第三方检测机构出具的检测报告。</w:t>
            </w:r>
            <w:r>
              <w:rPr>
                <w:rFonts w:ascii="宋体" w:eastAsia="宋体" w:hAnsi="宋体" w:cs="宋体" w:hint="eastAsia"/>
                <w:color w:val="000000"/>
                <w:kern w:val="0"/>
                <w:sz w:val="28"/>
                <w:szCs w:val="28"/>
                <w:lang w:bidi="ar"/>
              </w:rPr>
              <w:br/>
              <w:t xml:space="preserve">  5、自动回归平掩门门洞参考尺寸：800*1900H/MM；门和墙板平滑连接，不外凸。外门上需要有不小于300*400mm 的防雾观察窗，防止库门开启时碰撞库外通道通行人员，并能观察到是否有人员在库内的情况，从而有效防止安全事故的发生。门板外加不锈钢防撞护板。</w:t>
            </w:r>
            <w:r>
              <w:rPr>
                <w:rFonts w:ascii="宋体" w:eastAsia="宋体" w:hAnsi="宋体" w:cs="宋体" w:hint="eastAsia"/>
                <w:color w:val="000000"/>
                <w:kern w:val="0"/>
                <w:sz w:val="28"/>
                <w:szCs w:val="28"/>
                <w:lang w:bidi="ar"/>
              </w:rPr>
              <w:br/>
              <w:t xml:space="preserve">  6、冷库门门框为单身门框，镶嵌耐低温的磁性密封胶条，具有良好的弹性和耐磨性，能防止发霉，表面光洁，不藏污纳垢，易清洁。冷冻库门框均配置发热线(220V/1/50Hz)以防结露，门框发热线凹槽为可拆卸式，方便发热线更换。</w:t>
            </w:r>
            <w:r>
              <w:rPr>
                <w:rFonts w:ascii="宋体" w:eastAsia="宋体" w:hAnsi="宋体" w:cs="宋体" w:hint="eastAsia"/>
                <w:color w:val="000000"/>
                <w:kern w:val="0"/>
                <w:sz w:val="28"/>
                <w:szCs w:val="28"/>
                <w:lang w:bidi="ar"/>
              </w:rPr>
              <w:br/>
              <w:t>★7、冷库的灯开关必须嵌入式安装在门框上，防尘等级IPX6，，LED环形光圈指示灯以方便在库外查看库灯的开闭，耐磨耐压，中心高度离完成地面≤1500mm，所有的管线必须安装在门板框内，不能外露，冷库照明采用LED节能灯，耐低温-40℃，瞬时启动，IP65防水，使用寿命＞70000h.须提供冷库灯厂家依据GB 4208-2008防尘等级IPX6，防水等级IPX8实验合格报告。</w:t>
            </w:r>
          </w:p>
        </w:tc>
      </w:tr>
    </w:tbl>
    <w:p w14:paraId="028CAF00" w14:textId="6219DAAC" w:rsidR="00571455" w:rsidRPr="00C47CFC" w:rsidRDefault="00C47CFC">
      <w:r>
        <w:rPr>
          <w:rFonts w:ascii="宋体" w:eastAsia="宋体" w:hAnsi="宋体" w:cs="宋体" w:hint="eastAsia"/>
          <w:color w:val="FF0000"/>
          <w:kern w:val="0"/>
          <w:sz w:val="28"/>
          <w:szCs w:val="28"/>
          <w:lang w:bidi="ar"/>
        </w:rPr>
        <w:t>以上加</w:t>
      </w:r>
      <w:r w:rsidRPr="00C47CFC">
        <w:rPr>
          <w:rFonts w:ascii="宋体" w:eastAsia="宋体" w:hAnsi="宋体" w:cs="宋体" w:hint="eastAsia"/>
          <w:color w:val="FF0000"/>
          <w:kern w:val="0"/>
          <w:sz w:val="28"/>
          <w:szCs w:val="28"/>
          <w:lang w:bidi="ar"/>
        </w:rPr>
        <w:t>★</w:t>
      </w:r>
      <w:r>
        <w:rPr>
          <w:rFonts w:ascii="宋体" w:eastAsia="宋体" w:hAnsi="宋体" w:cs="宋体" w:hint="eastAsia"/>
          <w:color w:val="FF0000"/>
          <w:kern w:val="0"/>
          <w:sz w:val="28"/>
          <w:szCs w:val="28"/>
          <w:lang w:bidi="ar"/>
        </w:rPr>
        <w:t>的为重要技术指标，</w:t>
      </w:r>
      <w:r w:rsidR="00450B22">
        <w:rPr>
          <w:rFonts w:ascii="宋体" w:eastAsia="宋体" w:hAnsi="宋体" w:cs="宋体" w:hint="eastAsia"/>
          <w:color w:val="FF0000"/>
          <w:kern w:val="0"/>
          <w:sz w:val="28"/>
          <w:szCs w:val="28"/>
          <w:lang w:bidi="ar"/>
        </w:rPr>
        <w:t>报名</w:t>
      </w:r>
      <w:bookmarkStart w:id="0" w:name="_GoBack"/>
      <w:bookmarkEnd w:id="0"/>
      <w:r w:rsidR="00450B22">
        <w:rPr>
          <w:rFonts w:ascii="宋体" w:eastAsia="宋体" w:hAnsi="宋体" w:cs="宋体" w:hint="eastAsia"/>
          <w:color w:val="FF0000"/>
          <w:kern w:val="0"/>
          <w:sz w:val="28"/>
          <w:szCs w:val="28"/>
          <w:lang w:bidi="ar"/>
        </w:rPr>
        <w:t>供应商</w:t>
      </w:r>
      <w:r>
        <w:rPr>
          <w:rFonts w:ascii="宋体" w:eastAsia="宋体" w:hAnsi="宋体" w:cs="宋体" w:hint="eastAsia"/>
          <w:color w:val="FF0000"/>
          <w:kern w:val="0"/>
          <w:sz w:val="28"/>
          <w:szCs w:val="28"/>
          <w:lang w:bidi="ar"/>
        </w:rPr>
        <w:t>有一项不满足的即为无效投</w:t>
      </w:r>
      <w:r>
        <w:rPr>
          <w:rFonts w:ascii="宋体" w:eastAsia="宋体" w:hAnsi="宋体" w:cs="宋体" w:hint="eastAsia"/>
          <w:color w:val="FF0000"/>
          <w:kern w:val="0"/>
          <w:sz w:val="28"/>
          <w:szCs w:val="28"/>
          <w:lang w:bidi="ar"/>
        </w:rPr>
        <w:lastRenderedPageBreak/>
        <w:t>标。</w:t>
      </w:r>
      <w:r w:rsidRPr="00C47CFC">
        <w:rPr>
          <w:rFonts w:ascii="宋体" w:eastAsia="宋体" w:hAnsi="宋体" w:cs="宋体" w:hint="eastAsia"/>
          <w:color w:val="FF0000"/>
          <w:kern w:val="0"/>
          <w:sz w:val="28"/>
          <w:szCs w:val="28"/>
          <w:lang w:bidi="ar"/>
        </w:rPr>
        <w:t>说明：对带“★”条款的响应以对应条款要求提供的证明材料内容为准。检验（检测）报告要求具有</w:t>
      </w:r>
      <w:r w:rsidRPr="00C47CFC">
        <w:rPr>
          <w:rFonts w:ascii="宋体" w:eastAsia="宋体" w:hAnsi="宋体" w:cs="宋体"/>
          <w:color w:val="FF0000"/>
          <w:kern w:val="0"/>
          <w:sz w:val="28"/>
          <w:szCs w:val="28"/>
          <w:lang w:bidi="ar"/>
        </w:rPr>
        <w:t>CMA、CNAS等标识的，若有材料证明相关检测事项不在实施该项检测的机构许可（认可）CMA、CNAS等资质范围或检测范围内的，该检验（检测）报告视为不满足招标文件要求，作负偏离处理。采购人将对</w:t>
      </w:r>
      <w:r w:rsidR="00450B22">
        <w:rPr>
          <w:rFonts w:ascii="宋体" w:eastAsia="宋体" w:hAnsi="宋体" w:cs="宋体" w:hint="eastAsia"/>
          <w:color w:val="FF0000"/>
          <w:kern w:val="0"/>
          <w:sz w:val="28"/>
          <w:szCs w:val="28"/>
          <w:lang w:bidi="ar"/>
        </w:rPr>
        <w:t>成交供应商</w:t>
      </w:r>
      <w:r w:rsidRPr="00C47CFC">
        <w:rPr>
          <w:rFonts w:ascii="宋体" w:eastAsia="宋体" w:hAnsi="宋体" w:cs="宋体"/>
          <w:color w:val="FF0000"/>
          <w:kern w:val="0"/>
          <w:sz w:val="28"/>
          <w:szCs w:val="28"/>
          <w:lang w:bidi="ar"/>
        </w:rPr>
        <w:t>提供的证明材料进行核查，防止伪造。</w:t>
      </w:r>
    </w:p>
    <w:sectPr w:rsidR="00571455" w:rsidRPr="00C47C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1F455" w14:textId="77777777" w:rsidR="00714AF8" w:rsidRDefault="00714AF8" w:rsidP="00C47CFC">
      <w:r>
        <w:separator/>
      </w:r>
    </w:p>
  </w:endnote>
  <w:endnote w:type="continuationSeparator" w:id="0">
    <w:p w14:paraId="0E0CD411" w14:textId="77777777" w:rsidR="00714AF8" w:rsidRDefault="00714AF8" w:rsidP="00C4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D7F02" w14:textId="77777777" w:rsidR="00714AF8" w:rsidRDefault="00714AF8" w:rsidP="00C47CFC">
      <w:r>
        <w:separator/>
      </w:r>
    </w:p>
  </w:footnote>
  <w:footnote w:type="continuationSeparator" w:id="0">
    <w:p w14:paraId="1823FDC0" w14:textId="77777777" w:rsidR="00714AF8" w:rsidRDefault="00714AF8" w:rsidP="00C47C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A840E"/>
    <w:multiLevelType w:val="singleLevel"/>
    <w:tmpl w:val="496A840E"/>
    <w:lvl w:ilvl="0">
      <w:start w:val="1"/>
      <w:numFmt w:val="decimal"/>
      <w:suff w:val="nothing"/>
      <w:lvlText w:val="%1、"/>
      <w:lvlJc w:val="left"/>
      <w:pPr>
        <w:ind w:left="1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FD"/>
    <w:rsid w:val="00236847"/>
    <w:rsid w:val="00450B22"/>
    <w:rsid w:val="004568EE"/>
    <w:rsid w:val="00571455"/>
    <w:rsid w:val="00714AF8"/>
    <w:rsid w:val="00B961FD"/>
    <w:rsid w:val="00C47CFC"/>
    <w:rsid w:val="00E7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6F993"/>
  <w15:chartTrackingRefBased/>
  <w15:docId w15:val="{8F25D70A-EE60-4ACF-8FF2-D55D83F2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CF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C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7CFC"/>
    <w:rPr>
      <w:sz w:val="18"/>
      <w:szCs w:val="18"/>
    </w:rPr>
  </w:style>
  <w:style w:type="paragraph" w:styleId="a5">
    <w:name w:val="footer"/>
    <w:basedOn w:val="a"/>
    <w:link w:val="a6"/>
    <w:uiPriority w:val="99"/>
    <w:unhideWhenUsed/>
    <w:rsid w:val="00C47CFC"/>
    <w:pPr>
      <w:tabs>
        <w:tab w:val="center" w:pos="4153"/>
        <w:tab w:val="right" w:pos="8306"/>
      </w:tabs>
      <w:snapToGrid w:val="0"/>
      <w:jc w:val="left"/>
    </w:pPr>
    <w:rPr>
      <w:sz w:val="18"/>
      <w:szCs w:val="18"/>
    </w:rPr>
  </w:style>
  <w:style w:type="character" w:customStyle="1" w:styleId="a6">
    <w:name w:val="页脚 字符"/>
    <w:basedOn w:val="a0"/>
    <w:link w:val="a5"/>
    <w:uiPriority w:val="99"/>
    <w:rsid w:val="00C47C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陈芷妍</dc:creator>
  <cp:keywords/>
  <dc:description/>
  <cp:lastModifiedBy>陈芷妍</cp:lastModifiedBy>
  <cp:revision>3</cp:revision>
  <dcterms:created xsi:type="dcterms:W3CDTF">2025-11-17T09:56:00Z</dcterms:created>
  <dcterms:modified xsi:type="dcterms:W3CDTF">2025-11-18T03:37:00Z</dcterms:modified>
</cp:coreProperties>
</file>