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北辰校区教学楼AC区电梯曳引系统维修</w:t>
      </w:r>
    </w:p>
    <w:p>
      <w:pPr>
        <w:pStyle w:val="2"/>
        <w:spacing w:line="360" w:lineRule="auto"/>
        <w:jc w:val="center"/>
        <w:rPr>
          <w:b w:val="0"/>
          <w:bCs w:val="0"/>
          <w:sz w:val="28"/>
          <w:szCs w:val="28"/>
          <w:highlight w:val="none"/>
        </w:rPr>
      </w:pPr>
      <w:r>
        <w:rPr>
          <w:rFonts w:hint="eastAsia"/>
          <w:sz w:val="40"/>
          <w:szCs w:val="22"/>
          <w:lang w:val="en-US" w:eastAsia="zh-CN"/>
        </w:rPr>
        <w:t>改造服务</w:t>
      </w:r>
      <w:r>
        <w:rPr>
          <w:rFonts w:hint="eastAsia"/>
          <w:sz w:val="40"/>
          <w:szCs w:val="22"/>
        </w:rPr>
        <w:t>项目需求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</w:rPr>
        <w:t>项目采购内容及技术要求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</w:rPr>
        <w:t>（一）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服务</w:t>
      </w:r>
      <w:r>
        <w:rPr>
          <w:rFonts w:hint="eastAsia"/>
          <w:b w:val="0"/>
          <w:bCs w:val="0"/>
          <w:sz w:val="28"/>
          <w:szCs w:val="28"/>
          <w:highlight w:val="none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</w:rPr>
        <w:t>北辰校区教学楼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AC</w:t>
      </w:r>
      <w:r>
        <w:rPr>
          <w:rFonts w:hint="eastAsia"/>
          <w:b w:val="0"/>
          <w:bCs w:val="0"/>
          <w:sz w:val="28"/>
          <w:szCs w:val="28"/>
          <w:highlight w:val="none"/>
        </w:rPr>
        <w:t>区1台电梯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曳引系统维修</w:t>
      </w:r>
      <w:r>
        <w:rPr>
          <w:rFonts w:hint="eastAsia"/>
          <w:b w:val="0"/>
          <w:bCs w:val="0"/>
          <w:sz w:val="28"/>
          <w:szCs w:val="28"/>
          <w:highlight w:val="none"/>
        </w:rPr>
        <w:t>，包含工程量清单中的全部内容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highlight w:val="none"/>
        </w:rPr>
        <w:t>清单另附。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（二）项目内容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瀹嬩綋" w:hAnsi="瀹嬩綋" w:eastAsia="瀹嬩綋" w:cs="瀹嬩綋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教学楼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AC区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1台电梯为早期产品，要求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大修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改造为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永磁同步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曳引机，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（或不低于此类技术标准的其他类型）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匹配现有控制系统，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同时增加上行超速保护装置；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</w:rPr>
        <w:t>（三）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瀹嬩綋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瀹嬩綋" w:cs="Times New Roman"/>
          <w:b w:val="0"/>
          <w:bCs w:val="0"/>
          <w:color w:val="auto"/>
          <w:kern w:val="0"/>
          <w:sz w:val="28"/>
          <w:szCs w:val="28"/>
        </w:rPr>
        <w:t>1.设备类型：曳引驱动电梯。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Times New Roman" w:hAnsi="Times New Roman" w:eastAsia="瀹嬩綋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瀹嬩綋" w:cs="Times New Roman"/>
          <w:b w:val="0"/>
          <w:bCs w:val="0"/>
          <w:color w:val="auto"/>
          <w:kern w:val="0"/>
          <w:sz w:val="28"/>
          <w:szCs w:val="28"/>
        </w:rPr>
        <w:t>2.设备数量：1台。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Times New Roman" w:hAnsi="Times New Roman" w:eastAsia="瀹嬩綋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瀹嬩綋" w:cs="Times New Roman"/>
          <w:b w:val="0"/>
          <w:bCs w:val="0"/>
          <w:color w:val="auto"/>
          <w:kern w:val="0"/>
          <w:sz w:val="28"/>
          <w:szCs w:val="28"/>
        </w:rPr>
        <w:t>3.现有设备参数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额定载重kg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（m/s）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层站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有无机房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曳引比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教学楼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1000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1.0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5/5/5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有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1:1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560" w:firstLineChars="200"/>
              <w:jc w:val="left"/>
              <w:textAlignment w:val="auto"/>
              <w:rPr>
                <w:rFonts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瀹嬩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Times New Roman" w:hAnsi="Times New Roman" w:eastAsia="瀹嬩綋" w:cs="Times New Roman"/>
          <w:b w:val="0"/>
          <w:bCs w:val="0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4.设备安装标准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设备及安装标准符合 GB/T7588-2020《电梯制造与安装安全规范》、GB/T10058—2023 《电梯技术条件》、GB/T10059—2023 《电梯试验方法》、GB/T10060—2023《电梯安装验收规范》。必须符合《特种设备安全监察条例》、《中华人民共和国特种设备安全法》文件的各项要求。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 xml:space="preserve">5.系统性能要求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安全可靠；安全可靠、高效节能、材料环保、技术先进、噪音小、舒适感良好，起、制动平滑、维护方便、调试合理、结构简化、设备质量轻、占地面积小。需适配现有电梯的系统，满足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天津市特种设备监督检验技术研究院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 xml:space="preserve">验收时所具备的相关试验功能。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 xml:space="preserve">6.改造需要更换的配件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曳引机、限速器、钢丝绳、变频器、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详见清单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 xml:space="preserve">改造所涉及的设备、配件需为国内正规厂家生产，符合最新国家相关标准，所有设备、配件必须为合格产品，执行国家三包政策。要求是全新原厂原装产品，符合买购置的设备质量、规格，技术性能安全可靠。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二、改造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清单</w:t>
      </w:r>
    </w:p>
    <w:tbl>
      <w:tblPr>
        <w:tblStyle w:val="4"/>
        <w:tblpPr w:leftFromText="180" w:rightFromText="180" w:vertAnchor="text" w:horzAnchor="page" w:tblpX="2007" w:tblpY="532"/>
        <w:tblOverlap w:val="never"/>
        <w:tblW w:w="82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568"/>
        <w:gridCol w:w="2257"/>
        <w:gridCol w:w="945"/>
        <w:gridCol w:w="1005"/>
        <w:gridCol w:w="870"/>
        <w:gridCol w:w="975"/>
      </w:tblGrid>
      <w:tr>
        <w:trPr>
          <w:trHeight w:val="547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00" w:firstLineChars="10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规格型号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计量单位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单价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合计</w:t>
            </w:r>
          </w:p>
        </w:tc>
      </w:tr>
      <w:tr>
        <w:trPr>
          <w:trHeight w:val="547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永磁同步曳引机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编码器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主机大线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急停开关盒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05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06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制动电阻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07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操作器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top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曳引机底座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导向轮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限速器 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涨紧装置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封星接触器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控制柜变压器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限速器绳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Cs w:val="21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8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瀹嬩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3132"/>
    <w:multiLevelType w:val="singleLevel"/>
    <w:tmpl w:val="FFBE313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C22683"/>
    <w:multiLevelType w:val="singleLevel"/>
    <w:tmpl w:val="51C226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140A"/>
    <w:rsid w:val="00443437"/>
    <w:rsid w:val="005B5F4B"/>
    <w:rsid w:val="08E81855"/>
    <w:rsid w:val="0BC136CE"/>
    <w:rsid w:val="0D305579"/>
    <w:rsid w:val="15FA71DA"/>
    <w:rsid w:val="192C4D21"/>
    <w:rsid w:val="20C91B14"/>
    <w:rsid w:val="25B508B9"/>
    <w:rsid w:val="2731489D"/>
    <w:rsid w:val="2A217DD7"/>
    <w:rsid w:val="2A803E79"/>
    <w:rsid w:val="30766E97"/>
    <w:rsid w:val="316513E5"/>
    <w:rsid w:val="333948D8"/>
    <w:rsid w:val="38BD58A3"/>
    <w:rsid w:val="3B5D3AD5"/>
    <w:rsid w:val="3FCB17B4"/>
    <w:rsid w:val="415154E2"/>
    <w:rsid w:val="4358244B"/>
    <w:rsid w:val="47E91A2C"/>
    <w:rsid w:val="48E924A4"/>
    <w:rsid w:val="517A47DE"/>
    <w:rsid w:val="55294389"/>
    <w:rsid w:val="555466D1"/>
    <w:rsid w:val="599C2A7B"/>
    <w:rsid w:val="5BEC60DC"/>
    <w:rsid w:val="5D25140A"/>
    <w:rsid w:val="5EFC194F"/>
    <w:rsid w:val="64642775"/>
    <w:rsid w:val="671B37E7"/>
    <w:rsid w:val="67B81568"/>
    <w:rsid w:val="6E9B6045"/>
    <w:rsid w:val="6EDC3D8E"/>
    <w:rsid w:val="70D54F38"/>
    <w:rsid w:val="75D27F09"/>
    <w:rsid w:val="78B33769"/>
    <w:rsid w:val="7A792DD8"/>
    <w:rsid w:val="7A984C30"/>
    <w:rsid w:val="7F341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1486</Words>
  <Characters>1591</Characters>
  <Lines>115</Lines>
  <Paragraphs>131</Paragraphs>
  <TotalTime>20</TotalTime>
  <ScaleCrop>false</ScaleCrop>
  <LinksUpToDate>false</LinksUpToDate>
  <CharactersWithSpaces>1626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2025-05-06T11:20:00Z</dcterms:created>
  <dc:creator>刘雨</dc:creator>
  <cp:lastModifiedBy>間違いない 私はクミンです！</cp:lastModifiedBy>
  <dcterms:modified xsi:type="dcterms:W3CDTF">2026-01-14T17:49:51Z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9DF18538A4824B918B76FC16D3DF131A_13</vt:lpwstr>
  </property>
  <property fmtid="{D5CDD505-2E9C-101B-9397-08002B2CF9AE}" pid="4" name="KSOTemplateDocerSaveRecord">
    <vt:lpwstr>eyJoZGlkIjoiMzEwNTM5NzYwMDRjMzkwZTVkZjY2ODkwMGIxNGU0OTUiLCJ1c2VySWQiOiIxMDI2MzU5MTgwIn0=</vt:lpwstr>
  </property>
</Properties>
</file>